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9" w:rsidRDefault="006E3E54">
      <w:r>
        <w:t>6a_Deu_1612_Su</w:t>
      </w:r>
    </w:p>
    <w:p w:rsidR="006E3E54" w:rsidRDefault="006E3E54"/>
    <w:p w:rsidR="006E3E54" w:rsidRPr="006E3E54" w:rsidRDefault="006E3E54">
      <w:pPr>
        <w:rPr>
          <w:i/>
          <w:color w:val="C00000"/>
          <w:lang w:val="de-DE"/>
        </w:rPr>
      </w:pPr>
      <w:r w:rsidRPr="006E3E54">
        <w:rPr>
          <w:i/>
          <w:color w:val="C00000"/>
          <w:lang w:val="de-DE"/>
        </w:rPr>
        <w:t>Liebe Schüler und Schülerinnen der Klasse 6a,</w:t>
      </w:r>
    </w:p>
    <w:p w:rsidR="006E3E54" w:rsidRDefault="006E3E54">
      <w:pPr>
        <w:rPr>
          <w:i/>
          <w:color w:val="C00000"/>
          <w:lang w:val="de-DE"/>
        </w:rPr>
      </w:pPr>
    </w:p>
    <w:p w:rsidR="006E3E54" w:rsidRDefault="006E3E54">
      <w:pPr>
        <w:rPr>
          <w:i/>
          <w:color w:val="C00000"/>
          <w:lang w:val="de-DE"/>
        </w:rPr>
      </w:pPr>
      <w:r>
        <w:rPr>
          <w:i/>
          <w:color w:val="C00000"/>
          <w:lang w:val="de-DE"/>
        </w:rPr>
        <w:t>nun geht es für euch auf diesem Wege im Distanzunterricht weiter. Macht die Aufgaben sofort und organisiert euch die letzten „Schultage“ entsprechend  eurem Stundenplan, dann wird es auch nicht zu viel. Meine Mail-Adresse habt ihr. Sollte es Probleme geben, dann meldet euch auf diesem Wege bei mir.</w:t>
      </w:r>
    </w:p>
    <w:p w:rsidR="006E3E54" w:rsidRDefault="006E3E54">
      <w:pPr>
        <w:rPr>
          <w:i/>
          <w:color w:val="C00000"/>
          <w:lang w:val="de-DE"/>
        </w:rPr>
      </w:pPr>
      <w:r>
        <w:rPr>
          <w:i/>
          <w:color w:val="C00000"/>
          <w:lang w:val="de-DE"/>
        </w:rPr>
        <w:t>Viel Erfolg!</w:t>
      </w:r>
    </w:p>
    <w:p w:rsidR="006E3E54" w:rsidRDefault="006E3E54">
      <w:pPr>
        <w:rPr>
          <w:color w:val="C00000"/>
          <w:lang w:val="de-DE"/>
        </w:rPr>
      </w:pPr>
    </w:p>
    <w:p w:rsidR="006E3E54" w:rsidRDefault="006E3E54">
      <w:pPr>
        <w:rPr>
          <w:lang w:val="de-DE"/>
        </w:rPr>
      </w:pPr>
      <w:r w:rsidRPr="006E3E54">
        <w:rPr>
          <w:lang w:val="de-DE"/>
        </w:rPr>
        <w:t xml:space="preserve">Ihr </w:t>
      </w:r>
      <w:r>
        <w:rPr>
          <w:lang w:val="de-DE"/>
        </w:rPr>
        <w:t>könnt euch das Blatt ausdrucken, um es dann zu bearbeiten:</w:t>
      </w:r>
    </w:p>
    <w:p w:rsidR="006E3E54" w:rsidRPr="006E3E54" w:rsidRDefault="006E3E54">
      <w:pPr>
        <w:rPr>
          <w:lang w:val="de-DE"/>
        </w:rPr>
      </w:pPr>
    </w:p>
    <w:p w:rsidR="006E3E54" w:rsidRPr="00DB5DD3" w:rsidRDefault="006E3E54" w:rsidP="006E3E54">
      <w:pPr>
        <w:pStyle w:val="033"/>
        <w:spacing w:after="240"/>
      </w:pPr>
      <w:r w:rsidRPr="00DB5DD3">
        <w:t>Geheimverstecke für pfiffige Detektive</w:t>
      </w:r>
    </w:p>
    <w:p w:rsidR="006E3E54" w:rsidRPr="00DB5DD3" w:rsidRDefault="006E3E54" w:rsidP="006E3E54">
      <w:pPr>
        <w:pStyle w:val="111Grundschriftnach3"/>
        <w:ind w:left="284" w:hanging="284"/>
      </w:pPr>
      <w:r w:rsidRPr="00DB5DD3">
        <w:rPr>
          <w:rStyle w:val="71Aufgabeabcgrau"/>
        </w:rPr>
        <w:t>a</w:t>
      </w:r>
      <w:r w:rsidRPr="00DB5DD3">
        <w:tab/>
      </w:r>
      <w:r>
        <w:rPr>
          <w:noProof/>
        </w:rPr>
        <w:drawing>
          <wp:anchor distT="0" distB="0" distL="114300" distR="114300" simplePos="0" relativeHeight="251660288" behindDoc="0" locked="1" layoutInCell="1" allowOverlap="1">
            <wp:simplePos x="0" y="0"/>
            <wp:positionH relativeFrom="margin">
              <wp:posOffset>-306070</wp:posOffset>
            </wp:positionH>
            <wp:positionV relativeFrom="paragraph">
              <wp:posOffset>28575</wp:posOffset>
            </wp:positionV>
            <wp:extent cx="200025" cy="123825"/>
            <wp:effectExtent l="19050" t="0" r="9525" b="0"/>
            <wp:wrapNone/>
            <wp:docPr id="2" name="Bild 2" descr="Aufgabenziffer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fgabenziffern_1"/>
                    <pic:cNvPicPr>
                      <a:picLocks noChangeAspect="1" noChangeArrowheads="1"/>
                    </pic:cNvPicPr>
                  </pic:nvPicPr>
                  <pic:blipFill>
                    <a:blip r:embed="rId5" cstate="print"/>
                    <a:srcRect/>
                    <a:stretch>
                      <a:fillRect/>
                    </a:stretch>
                  </pic:blipFill>
                  <pic:spPr bwMode="auto">
                    <a:xfrm>
                      <a:off x="0" y="0"/>
                      <a:ext cx="200025" cy="123825"/>
                    </a:xfrm>
                    <a:prstGeom prst="rect">
                      <a:avLst/>
                    </a:prstGeom>
                    <a:noFill/>
                    <a:ln w="9525">
                      <a:noFill/>
                      <a:miter lim="800000"/>
                      <a:headEnd/>
                      <a:tailEnd/>
                    </a:ln>
                  </pic:spPr>
                </pic:pic>
              </a:graphicData>
            </a:graphic>
          </wp:anchor>
        </w:drawing>
      </w:r>
      <w:r>
        <w:rPr>
          <w:noProof/>
        </w:rPr>
        <w:pict>
          <v:group id="_x0000_s1027" style="position:absolute;left:0;text-align:left;margin-left:-24.1pt;margin-top:13.5pt;width:15.6pt;height:4.6pt;z-index:251661312;mso-position-horizontal-relative:text;mso-position-vertical-relative:text" coordorigin="801,1874" coordsize="465,138">
            <o:lock v:ext="edit" aspectratio="t"/>
            <v:oval id="_x0000_s1028" style="position:absolute;left:1128;top:1874;width:138;height:138" strokecolor="gray" strokeweight=".25pt">
              <o:lock v:ext="edit" aspectratio="t"/>
            </v:oval>
            <v:oval id="_x0000_s1029" style="position:absolute;left:964;top:1874;width:138;height:138" fillcolor="gray" strokecolor="gray" strokeweight=".25pt">
              <o:lock v:ext="edit" aspectratio="t"/>
            </v:oval>
            <v:oval id="_x0000_s1030" style="position:absolute;left:801;top:1874;width:138;height:138" fillcolor="gray" strokecolor="gray" strokeweight=".25pt">
              <o:lock v:ext="edit" aspectratio="t"/>
            </v:oval>
            <w10:anchorlock/>
          </v:group>
        </w:pict>
      </w:r>
      <w:r w:rsidRPr="00DB5DD3">
        <w:t xml:space="preserve">Markiere in den Sätzen B bis D alle Satzglieder durch senkrechte Striche. Orientiere dich dabei an Satz A. </w:t>
      </w:r>
      <w:r w:rsidRPr="00DB5DD3">
        <w:rPr>
          <w:b/>
        </w:rPr>
        <w:t xml:space="preserve">Tipp: </w:t>
      </w:r>
      <w:r w:rsidRPr="00DB5DD3">
        <w:t>Mache im Kopf die Umstellprobe. Dann findest du die Satzglieder leicht heraus.</w:t>
      </w:r>
    </w:p>
    <w:p w:rsidR="006E3E54" w:rsidRDefault="006E3E54" w:rsidP="006E3E54">
      <w:pPr>
        <w:pStyle w:val="111Grundschriftnach3"/>
        <w:spacing w:after="0"/>
        <w:ind w:left="284" w:hanging="284"/>
      </w:pPr>
      <w:r w:rsidRPr="00DB5DD3">
        <w:rPr>
          <w:rStyle w:val="71Aufgabeabcgrau"/>
        </w:rPr>
        <w:t>b</w:t>
      </w:r>
      <w:r w:rsidRPr="00DB5DD3">
        <w:tab/>
        <w:t>Unterstreiche in den Sätzen A bis D Prädikate rot, Subjekte grün, Akkusativobjekte blau, Dativobje</w:t>
      </w:r>
      <w:r w:rsidRPr="00DB5DD3">
        <w:t>k</w:t>
      </w:r>
      <w:r w:rsidRPr="00DB5DD3">
        <w:t xml:space="preserve">te gelb, Genitivobjekte violett, Präpositionalobjekte orange und Prädikative schwarz. </w:t>
      </w:r>
    </w:p>
    <w:p w:rsidR="006E3E54" w:rsidRPr="00DB5DD3" w:rsidRDefault="006E3E54" w:rsidP="006E3E54">
      <w:pPr>
        <w:pStyle w:val="111Grundschriftnach3"/>
        <w:ind w:left="284"/>
      </w:pPr>
      <w:r w:rsidRPr="00DB5DD3">
        <w:rPr>
          <w:b/>
        </w:rPr>
        <w:t>Tipp:</w:t>
      </w:r>
      <w:r w:rsidRPr="00DB5DD3">
        <w:t xml:space="preserve"> Es gibt in den Sätzen zwei Akkusativobjekte, </w:t>
      </w:r>
      <w:r>
        <w:t>ein</w:t>
      </w:r>
      <w:r w:rsidRPr="00DB5DD3">
        <w:t xml:space="preserve"> Dativobjekt, zwei Präpositionalobjekte, ein Genitivobjekt und ein Prädikativ.</w:t>
      </w:r>
    </w:p>
    <w:p w:rsidR="006E3E54" w:rsidRPr="00DB5DD3" w:rsidRDefault="006E3E54" w:rsidP="006E3E54">
      <w:pPr>
        <w:pStyle w:val="11Grundschrift"/>
        <w:spacing w:before="120"/>
        <w:ind w:left="568" w:hanging="284"/>
      </w:pPr>
      <w:r w:rsidRPr="00DB5DD3">
        <w:rPr>
          <w:b/>
        </w:rPr>
        <w:t>A</w:t>
      </w:r>
      <w:r w:rsidRPr="00DB5DD3">
        <w:tab/>
        <w:t>Detektive</w:t>
      </w:r>
      <w:r>
        <w:rPr>
          <w:lang w:val="de-DE"/>
        </w:rPr>
        <w:t xml:space="preserve"> </w:t>
      </w:r>
      <w:r w:rsidRPr="00DB5DD3">
        <w:t>│</w:t>
      </w:r>
      <w:r>
        <w:t xml:space="preserve"> </w:t>
      </w:r>
      <w:r w:rsidRPr="00DB5DD3">
        <w:t>benötigen</w:t>
      </w:r>
      <w:r>
        <w:rPr>
          <w:lang w:val="de-DE"/>
        </w:rPr>
        <w:t xml:space="preserve"> </w:t>
      </w:r>
      <w:r w:rsidRPr="00DB5DD3">
        <w:t>│</w:t>
      </w:r>
      <w:r>
        <w:t xml:space="preserve"> </w:t>
      </w:r>
      <w:r w:rsidRPr="00DB5DD3">
        <w:t>gute Verstecke</w:t>
      </w:r>
      <w:r>
        <w:rPr>
          <w:lang w:val="de-DE"/>
        </w:rPr>
        <w:t xml:space="preserve"> </w:t>
      </w:r>
      <w:r w:rsidRPr="00DB5DD3">
        <w:t>│</w:t>
      </w:r>
      <w:r>
        <w:t xml:space="preserve"> </w:t>
      </w:r>
      <w:r w:rsidRPr="00DB5DD3">
        <w:t>für ihre geheimen Unterlagen und ihre Ausrüstung.</w:t>
      </w:r>
    </w:p>
    <w:p w:rsidR="006E3E54" w:rsidRPr="00DB5DD3" w:rsidRDefault="006E3E54" w:rsidP="006E3E54">
      <w:pPr>
        <w:pStyle w:val="11Grundschrift"/>
        <w:spacing w:before="120"/>
        <w:ind w:left="284"/>
      </w:pPr>
      <w:r w:rsidRPr="00DB5DD3">
        <w:rPr>
          <w:b/>
        </w:rPr>
        <w:t>B</w:t>
      </w:r>
      <w:r w:rsidRPr="00DB5DD3">
        <w:tab/>
        <w:t>Ein  pfiffiger  Detektiv  bedient  sich  verschiedener  Verstecke.</w:t>
      </w:r>
    </w:p>
    <w:p w:rsidR="006E3E54" w:rsidRPr="00DB5DD3" w:rsidRDefault="006E3E54" w:rsidP="006E3E54">
      <w:pPr>
        <w:pStyle w:val="11Grundschrift"/>
        <w:spacing w:before="120"/>
        <w:ind w:left="284"/>
      </w:pPr>
      <w:r w:rsidRPr="00DB5DD3">
        <w:rPr>
          <w:b/>
        </w:rPr>
        <w:t>C</w:t>
      </w:r>
      <w:r w:rsidRPr="00DB5DD3">
        <w:tab/>
        <w:t>Er  ist  bei  ihrer  Auswahl  sehr  wählerisch.</w:t>
      </w:r>
    </w:p>
    <w:p w:rsidR="006E3E54" w:rsidRDefault="006E3E54" w:rsidP="006E3E54">
      <w:pPr>
        <w:pStyle w:val="11Grundschrift"/>
        <w:spacing w:before="120"/>
        <w:ind w:left="284"/>
      </w:pPr>
      <w:r w:rsidRPr="00DB5DD3">
        <w:rPr>
          <w:b/>
        </w:rPr>
        <w:t>D</w:t>
      </w:r>
      <w:r w:rsidRPr="00DB5DD3">
        <w:tab/>
        <w:t>Ein  solches  Vorgehen  erleichtert  ihm  ein  flexibles  und  sicheres  Arbeiten.</w:t>
      </w:r>
    </w:p>
    <w:p w:rsidR="006E3E54" w:rsidRPr="00DB5DD3" w:rsidRDefault="006E3E54" w:rsidP="006E3E54">
      <w:pPr>
        <w:pStyle w:val="11Grundschrift"/>
      </w:pPr>
    </w:p>
    <w:p w:rsidR="006E3E54" w:rsidRPr="00DB5DD3" w:rsidRDefault="006E3E54" w:rsidP="006E3E54">
      <w:pPr>
        <w:pStyle w:val="111Grundschriftnach3"/>
        <w:ind w:left="284" w:hanging="284"/>
        <w:jc w:val="left"/>
      </w:pPr>
      <w:r w:rsidRPr="00DB5DD3">
        <w:rPr>
          <w:rStyle w:val="71Aufgabeabcgrau"/>
          <w:noProof/>
        </w:rPr>
        <w:pict>
          <v:group id="_x0000_s1031" style="position:absolute;left:0;text-align:left;margin-left:-24.1pt;margin-top:13.5pt;width:15.6pt;height:4.6pt;z-index:251662336" coordorigin="801,1874" coordsize="465,138">
            <o:lock v:ext="edit" aspectratio="t"/>
            <v:oval id="_x0000_s1032" style="position:absolute;left:1128;top:1874;width:138;height:138" strokecolor="gray" strokeweight=".25pt">
              <o:lock v:ext="edit" aspectratio="t"/>
            </v:oval>
            <v:oval id="_x0000_s1033" style="position:absolute;left:964;top:1874;width:138;height:138" fillcolor="gray" strokecolor="gray" strokeweight=".25pt">
              <o:lock v:ext="edit" aspectratio="t"/>
            </v:oval>
            <v:oval id="_x0000_s1034" style="position:absolute;left:801;top:1874;width:138;height:138" fillcolor="gray" strokecolor="gray" strokeweight=".25pt">
              <o:lock v:ext="edit" aspectratio="t"/>
            </v:oval>
            <w10:anchorlock/>
          </v:group>
        </w:pict>
      </w:r>
      <w:r>
        <w:rPr>
          <w:b/>
          <w:noProof/>
          <w:color w:val="808080"/>
        </w:rPr>
        <w:drawing>
          <wp:anchor distT="0" distB="0" distL="114300" distR="114300" simplePos="0" relativeHeight="251663360" behindDoc="0" locked="1" layoutInCell="1" allowOverlap="1">
            <wp:simplePos x="0" y="0"/>
            <wp:positionH relativeFrom="column">
              <wp:posOffset>-306070</wp:posOffset>
            </wp:positionH>
            <wp:positionV relativeFrom="paragraph">
              <wp:posOffset>28575</wp:posOffset>
            </wp:positionV>
            <wp:extent cx="200025" cy="123825"/>
            <wp:effectExtent l="19050" t="0" r="9525" b="0"/>
            <wp:wrapNone/>
            <wp:docPr id="11" name="Bild 11" descr="Aufgabenziffe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fgabenziffern_2"/>
                    <pic:cNvPicPr>
                      <a:picLocks noChangeAspect="1" noChangeArrowheads="1"/>
                    </pic:cNvPicPr>
                  </pic:nvPicPr>
                  <pic:blipFill>
                    <a:blip r:embed="rId6" cstate="print"/>
                    <a:srcRect/>
                    <a:stretch>
                      <a:fillRect/>
                    </a:stretch>
                  </pic:blipFill>
                  <pic:spPr bwMode="auto">
                    <a:xfrm>
                      <a:off x="0" y="0"/>
                      <a:ext cx="200025" cy="123825"/>
                    </a:xfrm>
                    <a:prstGeom prst="rect">
                      <a:avLst/>
                    </a:prstGeom>
                    <a:noFill/>
                    <a:ln w="9525">
                      <a:noFill/>
                      <a:miter lim="800000"/>
                      <a:headEnd/>
                      <a:tailEnd/>
                    </a:ln>
                  </pic:spPr>
                </pic:pic>
              </a:graphicData>
            </a:graphic>
          </wp:anchor>
        </w:drawing>
      </w:r>
      <w:r w:rsidRPr="00DB5DD3">
        <w:rPr>
          <w:rStyle w:val="71Aufgabeabcgrau"/>
        </w:rPr>
        <w:t>a</w:t>
      </w:r>
      <w:r w:rsidRPr="00DB5DD3">
        <w:tab/>
        <w:t>Unterstreiche in den letzten beiden Absätzen des Textes die adverbialen Bestimmungen.</w:t>
      </w:r>
      <w:r>
        <w:t xml:space="preserve"> </w:t>
      </w:r>
      <w:r>
        <w:br/>
      </w:r>
      <w:r w:rsidRPr="00DB5DD3">
        <w:rPr>
          <w:b/>
        </w:rPr>
        <w:t xml:space="preserve">Tipp: </w:t>
      </w:r>
      <w:r w:rsidRPr="00DB5DD3">
        <w:t>Denke an die Frageproben.</w:t>
      </w:r>
    </w:p>
    <w:p w:rsidR="006E3E54" w:rsidRPr="00DB5DD3" w:rsidRDefault="006E3E54" w:rsidP="006E3E54">
      <w:pPr>
        <w:pStyle w:val="1112Grundschriftnach6"/>
        <w:ind w:left="284" w:hanging="284"/>
      </w:pPr>
      <w:r w:rsidRPr="00DB5DD3">
        <w:rPr>
          <w:rStyle w:val="71Aufgabeabcgrau"/>
        </w:rPr>
        <w:t>b</w:t>
      </w:r>
      <w:r w:rsidRPr="00DB5DD3">
        <w:tab/>
      </w:r>
      <w:r w:rsidRPr="007770B0">
        <w:rPr>
          <w:spacing w:val="-2"/>
        </w:rPr>
        <w:t>Schreibe die jeweiligen Satzgliedfragen daneben und bestimme die adverbialen Bestimmungen n</w:t>
      </w:r>
      <w:r w:rsidRPr="007770B0">
        <w:rPr>
          <w:spacing w:val="-2"/>
        </w:rPr>
        <w:t>ä</w:t>
      </w:r>
      <w:r w:rsidRPr="007770B0">
        <w:rPr>
          <w:spacing w:val="-2"/>
        </w:rPr>
        <w:t>her.</w:t>
      </w:r>
    </w:p>
    <w:tbl>
      <w:tblPr>
        <w:tblW w:w="0" w:type="auto"/>
        <w:tblLayout w:type="fixed"/>
        <w:tblCellMar>
          <w:left w:w="0" w:type="dxa"/>
          <w:right w:w="0" w:type="dxa"/>
        </w:tblCellMar>
        <w:tblLook w:val="04A0"/>
      </w:tblPr>
      <w:tblGrid>
        <w:gridCol w:w="5103"/>
        <w:gridCol w:w="284"/>
        <w:gridCol w:w="3799"/>
      </w:tblGrid>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Kluge Detektive verstecken geheime Dokumente und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DB5DD3"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Gegenstände </w:t>
            </w:r>
            <w:r w:rsidRPr="00DB5DD3">
              <w:rPr>
                <w:u w:val="single"/>
              </w:rPr>
              <w:t>in speziell präparierten Koffern oder</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r w:rsidRPr="00DB5DD3">
              <w:rPr>
                <w:rFonts w:ascii="Comic Sans MS" w:hAnsi="Comic Sans MS"/>
              </w:rPr>
              <w:t>Wo? Adverb. Best. des Ortes</w:t>
            </w: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rPr>
                <w:u w:val="single"/>
              </w:rPr>
              <w:t>Taschen</w:t>
            </w:r>
            <w:r w:rsidRPr="00DB5DD3">
              <w:t xml:space="preserve">. </w:t>
            </w:r>
            <w:r w:rsidRPr="00DB5DD3">
              <w:rPr>
                <w:u w:val="single"/>
              </w:rPr>
              <w:t>Wegen ihres doppelten Bodens</w:t>
            </w:r>
            <w:r w:rsidRPr="00DB5DD3">
              <w:t xml:space="preserve"> sehen diese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r w:rsidRPr="00DB5DD3">
              <w:rPr>
                <w:rFonts w:ascii="Comic Sans MS" w:hAnsi="Comic Sans MS"/>
              </w:rPr>
              <w:t>Warum? Adverb. Best. des Grundes</w:t>
            </w: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für eine fremde Person </w:t>
            </w:r>
            <w:r w:rsidRPr="00DB5DD3">
              <w:rPr>
                <w:u w:val="single"/>
              </w:rPr>
              <w:t>völlig unauffällig</w:t>
            </w:r>
            <w:r w:rsidRPr="00DB5DD3">
              <w:t xml:space="preserve"> aus.</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r w:rsidRPr="00DB5DD3">
              <w:rPr>
                <w:rFonts w:ascii="Comic Sans MS" w:hAnsi="Comic Sans MS"/>
              </w:rPr>
              <w:t>Wie? Adverb. Best. der Art und Weise</w:t>
            </w: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Einzelne Papiere oder schmale Mappen kann man </w:t>
            </w:r>
            <w:r w:rsidRPr="00DB5DD3">
              <w:rPr>
                <w:u w:val="single"/>
              </w:rPr>
              <w:t>hinter</w:t>
            </w:r>
            <w:r w:rsidRPr="00DB5DD3">
              <w:t xml:space="preserve">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DB5DD3"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rPr>
                <w:u w:val="single"/>
              </w:rPr>
              <w:t>Bildern oder unter Schubladen</w:t>
            </w:r>
            <w:r w:rsidRPr="00DB5DD3">
              <w:t xml:space="preserve"> verstecken. Baumhöhlen</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eignen sich, um geheime Dokumente zu verbergen.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DB5DD3"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Mit</w:t>
            </w:r>
            <w:r>
              <w:t>h</w:t>
            </w:r>
            <w:r w:rsidRPr="00DB5DD3">
              <w:t xml:space="preserve">ilfe eines Lageplans findet der umsichtige Detektiv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r w:rsidRPr="00DB5DD3">
              <w:rPr>
                <w:rFonts w:ascii="Comic Sans MS" w:hAnsi="Comic Sans MS"/>
              </w:rPr>
              <w:t xml:space="preserve">Wie? </w:t>
            </w: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lastRenderedPageBreak/>
              <w:t xml:space="preserve">den richtigen Baum wieder. Wenn der Baum nach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DB5DD3"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 xml:space="preserve">mehreren Jahren gewachsen ist, kann man die Baum- </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r w:rsidRPr="00DB5DD3">
              <w:rPr>
                <w:rFonts w:ascii="Comic Sans MS" w:hAnsi="Comic Sans MS"/>
              </w:rPr>
              <w:t>Wann?</w:t>
            </w: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höhle mit einer Leiter erreichen.</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Wenn ein Dokument für kurze Zeit verschwinden soll,</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r w:rsidR="006E3E54" w:rsidRPr="006E3E54" w:rsidTr="00EC783D">
        <w:trPr>
          <w:trHeight w:val="20"/>
        </w:trPr>
        <w:tc>
          <w:tcPr>
            <w:tcW w:w="5103" w:type="dxa"/>
            <w:shd w:val="clear" w:color="auto" w:fill="auto"/>
            <w:vAlign w:val="bottom"/>
          </w:tcPr>
          <w:p w:rsidR="006E3E54" w:rsidRPr="00DB5DD3" w:rsidRDefault="006E3E54" w:rsidP="00EC783D">
            <w:pPr>
              <w:pStyle w:val="11Grundschrift"/>
              <w:spacing w:before="120" w:line="400" w:lineRule="exact"/>
            </w:pPr>
            <w:r w:rsidRPr="00DB5DD3">
              <w:t>schickt ein pfiffiger Detektiv es an seine eigene Adresse.</w:t>
            </w:r>
          </w:p>
        </w:tc>
        <w:tc>
          <w:tcPr>
            <w:tcW w:w="284" w:type="dxa"/>
            <w:shd w:val="clear" w:color="auto" w:fill="auto"/>
            <w:vAlign w:val="bottom"/>
          </w:tcPr>
          <w:p w:rsidR="006E3E54" w:rsidRPr="00DB5DD3" w:rsidRDefault="006E3E54" w:rsidP="00EC783D">
            <w:pPr>
              <w:pStyle w:val="11Grundschrift"/>
              <w:spacing w:before="120" w:line="400" w:lineRule="exact"/>
            </w:pPr>
          </w:p>
        </w:tc>
        <w:tc>
          <w:tcPr>
            <w:tcW w:w="3799" w:type="dxa"/>
            <w:tcBorders>
              <w:top w:val="single" w:sz="6" w:space="0" w:color="auto"/>
              <w:bottom w:val="single" w:sz="6" w:space="0" w:color="auto"/>
            </w:tcBorders>
            <w:shd w:val="clear" w:color="auto" w:fill="auto"/>
            <w:vAlign w:val="bottom"/>
          </w:tcPr>
          <w:p w:rsidR="006E3E54" w:rsidRPr="00DB5DD3" w:rsidRDefault="006E3E54" w:rsidP="00EC783D">
            <w:pPr>
              <w:pStyle w:val="11Grundschrift"/>
              <w:spacing w:before="120" w:line="400" w:lineRule="exact"/>
              <w:rPr>
                <w:rFonts w:ascii="Comic Sans MS" w:hAnsi="Comic Sans MS"/>
              </w:rPr>
            </w:pPr>
          </w:p>
        </w:tc>
      </w:tr>
    </w:tbl>
    <w:p w:rsidR="006E3E54" w:rsidRPr="00DB5DD3" w:rsidRDefault="006E3E54" w:rsidP="006E3E54">
      <w:pPr>
        <w:pStyle w:val="1112Grundschriftnach6"/>
      </w:pPr>
    </w:p>
    <w:p w:rsidR="006E3E54" w:rsidRDefault="006E3E54">
      <w:pPr>
        <w:rPr>
          <w:color w:val="C00000"/>
          <w:lang w:val="de-DE"/>
        </w:rPr>
      </w:pPr>
    </w:p>
    <w:p w:rsidR="006E3E54" w:rsidRDefault="006E3E54">
      <w:pPr>
        <w:rPr>
          <w:lang w:val="de-DE"/>
        </w:rPr>
      </w:pPr>
      <w:r>
        <w:rPr>
          <w:lang w:val="de-DE"/>
        </w:rPr>
        <w:t>3. Richtiges Schreiben üben:</w:t>
      </w:r>
    </w:p>
    <w:p w:rsidR="006E3E54" w:rsidRDefault="006E3E54" w:rsidP="006E3E54">
      <w:pPr>
        <w:pStyle w:val="Listenabsatz"/>
        <w:numPr>
          <w:ilvl w:val="0"/>
          <w:numId w:val="1"/>
        </w:numPr>
        <w:rPr>
          <w:lang w:val="de-DE"/>
        </w:rPr>
      </w:pPr>
      <w:r w:rsidRPr="006E3E54">
        <w:rPr>
          <w:lang w:val="de-DE"/>
        </w:rPr>
        <w:t>Schreibe den folgenden Text in der richtigen Groß- und Kleinschreibung in deinen Hefter:</w:t>
      </w:r>
    </w:p>
    <w:p w:rsidR="00C733AD" w:rsidRDefault="00C733AD" w:rsidP="006E3E54">
      <w:pPr>
        <w:pStyle w:val="Listenabsatz"/>
        <w:numPr>
          <w:ilvl w:val="0"/>
          <w:numId w:val="1"/>
        </w:numPr>
        <w:rPr>
          <w:lang w:val="de-DE"/>
        </w:rPr>
      </w:pPr>
      <w:r>
        <w:rPr>
          <w:lang w:val="de-DE"/>
        </w:rPr>
        <w:t>Unterstreiche alle Nomen blau und deren Begleiter gelb!</w:t>
      </w:r>
    </w:p>
    <w:p w:rsidR="006E3E54" w:rsidRDefault="006E3E54" w:rsidP="006E3E54">
      <w:pPr>
        <w:pStyle w:val="Listenabsatz"/>
        <w:ind w:left="758"/>
        <w:rPr>
          <w:lang w:val="de-DE"/>
        </w:rPr>
      </w:pPr>
    </w:p>
    <w:p w:rsidR="006E3E54" w:rsidRDefault="00C733AD" w:rsidP="006E3E54">
      <w:pPr>
        <w:pStyle w:val="Listenabsatz"/>
        <w:ind w:left="758"/>
        <w:rPr>
          <w:lang w:val="de-DE"/>
        </w:rPr>
      </w:pPr>
      <w:r>
        <w:rPr>
          <w:lang w:val="de-DE"/>
        </w:rPr>
        <w:t>Alle kinder freuen sich auf das bevorstehende weihnachtsfest, denn es gehört zu den schönsten familientraditionen in unserer zeit.</w:t>
      </w:r>
    </w:p>
    <w:p w:rsidR="00C733AD" w:rsidRDefault="00C733AD" w:rsidP="006E3E54">
      <w:pPr>
        <w:pStyle w:val="Listenabsatz"/>
        <w:ind w:left="758"/>
        <w:rPr>
          <w:lang w:val="de-DE"/>
        </w:rPr>
      </w:pPr>
      <w:r>
        <w:rPr>
          <w:lang w:val="de-DE"/>
        </w:rPr>
        <w:t>Wenn die kerzen am weihnachtsbaum leuchten, die geschenke verpackt sind und der bratenduft durch das  haus zieht, dann wird es gemütlich in den wohnungen.</w:t>
      </w:r>
    </w:p>
    <w:p w:rsidR="00C733AD" w:rsidRPr="006E3E54" w:rsidRDefault="00C733AD" w:rsidP="006E3E54">
      <w:pPr>
        <w:pStyle w:val="Listenabsatz"/>
        <w:ind w:left="758"/>
        <w:rPr>
          <w:lang w:val="de-DE"/>
        </w:rPr>
      </w:pPr>
      <w:r>
        <w:rPr>
          <w:lang w:val="de-DE"/>
        </w:rPr>
        <w:t>In vielen familien gehört der besuch des krippenspiels genauso zum fest wie das singen von liedern und das rezitieren von gedichten. In diesem sinne- frohe weihnachten.</w:t>
      </w:r>
    </w:p>
    <w:p w:rsidR="006E3E54" w:rsidRDefault="006E3E54">
      <w:pPr>
        <w:rPr>
          <w:lang w:val="de-DE"/>
        </w:rPr>
      </w:pPr>
    </w:p>
    <w:p w:rsidR="00C733AD" w:rsidRPr="00C733AD" w:rsidRDefault="00C733AD">
      <w:pPr>
        <w:rPr>
          <w:i/>
          <w:color w:val="C00000"/>
          <w:lang w:val="de-DE"/>
        </w:rPr>
      </w:pPr>
      <w:r>
        <w:rPr>
          <w:i/>
          <w:color w:val="C00000"/>
          <w:lang w:val="de-DE"/>
        </w:rPr>
        <w:t>Für heute habt ihr es geschafft. Bis Freitag- LG H.Schulze</w:t>
      </w:r>
    </w:p>
    <w:sectPr w:rsidR="00C733AD" w:rsidRPr="00C733AD" w:rsidSect="00C15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66E"/>
    <w:multiLevelType w:val="hybridMultilevel"/>
    <w:tmpl w:val="B65444B6"/>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3E54"/>
    <w:rsid w:val="006E3E54"/>
    <w:rsid w:val="00810792"/>
    <w:rsid w:val="009737A0"/>
    <w:rsid w:val="00C15A29"/>
    <w:rsid w:val="00C733AD"/>
    <w:rsid w:val="00FC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2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Grundschrift">
    <w:name w:val="* 11 Grundschrift"/>
    <w:link w:val="11GrundschriftZchn"/>
    <w:rsid w:val="006E3E54"/>
    <w:pPr>
      <w:spacing w:line="260" w:lineRule="exact"/>
      <w:jc w:val="both"/>
    </w:pPr>
    <w:rPr>
      <w:rFonts w:ascii="Arial" w:eastAsia="Times New Roman" w:hAnsi="Arial" w:cs="Times New Roman"/>
      <w:sz w:val="20"/>
      <w:szCs w:val="24"/>
      <w:lang w:eastAsia="de-DE"/>
    </w:rPr>
  </w:style>
  <w:style w:type="character" w:customStyle="1" w:styleId="71Aufgabeabcgrau">
    <w:name w:val="* 71 Aufgabe a/b/c grau"/>
    <w:basedOn w:val="Absatz-Standardschriftart"/>
    <w:rsid w:val="006E3E54"/>
    <w:rPr>
      <w:b/>
      <w:color w:val="808080"/>
      <w:lang w:val="de-DE"/>
    </w:rPr>
  </w:style>
  <w:style w:type="paragraph" w:customStyle="1" w:styleId="033">
    <w:name w:val="* 03 Ü3"/>
    <w:basedOn w:val="11Grundschrift"/>
    <w:rsid w:val="006E3E54"/>
    <w:pPr>
      <w:keepNext/>
      <w:keepLines/>
      <w:spacing w:after="120" w:line="280" w:lineRule="exact"/>
      <w:jc w:val="left"/>
      <w:outlineLvl w:val="1"/>
    </w:pPr>
    <w:rPr>
      <w:b/>
      <w:sz w:val="24"/>
    </w:rPr>
  </w:style>
  <w:style w:type="character" w:customStyle="1" w:styleId="11GrundschriftZchn">
    <w:name w:val="* 11 Grundschrift Zchn"/>
    <w:basedOn w:val="Absatz-Standardschriftart"/>
    <w:link w:val="11Grundschrift"/>
    <w:rsid w:val="006E3E54"/>
    <w:rPr>
      <w:rFonts w:ascii="Arial" w:eastAsia="Times New Roman" w:hAnsi="Arial" w:cs="Times New Roman"/>
      <w:sz w:val="20"/>
      <w:szCs w:val="24"/>
      <w:lang w:eastAsia="de-DE"/>
    </w:rPr>
  </w:style>
  <w:style w:type="paragraph" w:customStyle="1" w:styleId="111Grundschriftnach3">
    <w:name w:val="* 11.1 Grundschrift nach 3"/>
    <w:basedOn w:val="11Grundschrift"/>
    <w:rsid w:val="006E3E54"/>
    <w:pPr>
      <w:spacing w:after="60"/>
    </w:pPr>
  </w:style>
  <w:style w:type="paragraph" w:customStyle="1" w:styleId="1112Grundschriftnach6">
    <w:name w:val="* 11.1.2 Grundschrift nach 6"/>
    <w:basedOn w:val="11Grundschrift"/>
    <w:rsid w:val="006E3E54"/>
    <w:pPr>
      <w:spacing w:after="120"/>
    </w:pPr>
  </w:style>
  <w:style w:type="paragraph" w:styleId="Listenabsatz">
    <w:name w:val="List Paragraph"/>
    <w:basedOn w:val="Standard"/>
    <w:uiPriority w:val="34"/>
    <w:qFormat/>
    <w:rsid w:val="006E3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Schulze</dc:creator>
  <cp:lastModifiedBy>Erik Schulze</cp:lastModifiedBy>
  <cp:revision>1</cp:revision>
  <dcterms:created xsi:type="dcterms:W3CDTF">2020-12-15T07:10:00Z</dcterms:created>
  <dcterms:modified xsi:type="dcterms:W3CDTF">2020-12-15T07:28:00Z</dcterms:modified>
</cp:coreProperties>
</file>